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Entité juridique</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015098B6-3D64-45A3-A280-704BA78FA924}"/>
</file>

<file path=customXml/itemProps3.xml><?xml version="1.0" encoding="utf-8"?>
<ds:datastoreItem xmlns:ds="http://schemas.openxmlformats.org/officeDocument/2006/customXml" ds:itemID="{B5139A54-028B-43D4-A905-60C2B878C8D6}"/>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